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05 28 vom 19. Mai 2005</w:t>
      </w:r>
    </w:p>
    <w:p>
      <w:r>
        <w:t>VS Kantonsgericht, 2005-05-19, FR</w:t>
      </w:r>
    </w:p>
    <w:p>
      <w:r>
        <w:rPr>
          <w:b/>
        </w:rPr>
        <w:t xml:space="preserve">Quelle: </w:t>
      </w:r>
      <w:r>
        <w:t>https://mcp.opencaselaw.ch/entscheid/vs_gerichte_P3 05 28</w:t>
      </w:r>
    </w:p>
    <w:p>
      <w:r>
        <w:t>FR: VS_GERICHTE P3 05 28 du 19 mai 2005</w:t>
      </w:r>
    </w:p>
    <w:p>
      <w:r>
        <w:t>IT: VS_GERICHTE P3 05 28 del 19 maggio 2005</w:t>
      </w:r>
    </w:p>
    <w:p>
      <w:pPr>
        <w:pStyle w:val="Heading2"/>
      </w:pPr>
      <w:r>
        <w:t>Regeste</w:t>
      </w:r>
    </w:p>
    <w:p>
      <w:r>
        <w:t>ATC (Chambre pénale) du 19 mai 2005, Office du ministère public du Bas-Valais c. Office du juge d’instruction du Bas-Valais. Opportunité d’établir l’arrêt de renvoi (art. 113 ch. 1 let. d CPP). – Compétence de la Chambre pénale en la matière (consid. 1). – Distinction entre arrêt de renvoi et arrêt de non-lieu (consid. 2). – Définition des infractions de soustraction de données et d’accès indu à un sys- tème informatique (art. 143 et 143bis CP; consid. 3a); application de ces dispo- sitions en l’espèce (consid. 3b). Möglichkeit des Erlasses des Überweisungsbeschlusses (Art. 113 Ziff. 1 lit. d StPO). – Kompetenz der Strafkammer zum Erlass des Überweisungsbeschlusses (E. 1). – Unterscheidung zwischen Einstellungs- und Überweisungsbeschluss (E. 2). – Erläuterung der Widerhandlungen der unbefugten Datenbeschaffung (Art. 143 StGB) und des unbefugten Eindringens in ein Datenverarbeitungssystem (Art. 143bis StGB; E. 3a); Anwendung dieser Bestimmungen im vorliegenden Fall (E. 3b). Faits (résumé) A. La société Y. SA est une société active dans le domaine des services internet, notamment dans la création de sites internet et l’hébergement de messagerie. Dès juin 2001, X., diplômé de l’école d’informatique de Sierre, a travaillé en qualité d’informaticien-sta-</w:t>
      </w:r>
    </w:p>
    <w:p>
      <w:pPr>
        <w:pStyle w:val="Heading2"/>
      </w:pPr>
      <w:r>
        <w:t>Erwägungen</w:t>
      </w:r>
    </w:p>
    <w:p>
      <w:r>
        <w:rPr>
          <w:b/>
        </w:rPr>
        <w:t>E. 1</w:t>
      </w:r>
    </w:p>
    <w:p>
      <w:r>
        <w:t>En cas de divergence entre le ministère public et le juge d’ins- truction sur la justiﬁcation d’une mise en accusation, le dossier est adressé à la Chambre pénale qui tranche elle-même par un arrêt de non-lieu ou de renvoi (art. 113 ch. 1 let. d CPP).</w:t>
      </w:r>
    </w:p>
    <w:p>
      <w:r>
        <w:rPr>
          <w:b/>
        </w:rPr>
        <w:t>E. 2</w:t>
      </w:r>
    </w:p>
    <w:p>
      <w:r>
        <w:t>Si la condamnation paraît vraisemblable, il y a lieu de dresser l’arrêt de renvoi, qui a pour effet de provoquer la saisine de l’autorité de jugement. Au contraire, le non-lieu est l’acte par lequel l’autorité judiciaire décide de renoncer à la continuation de la poursuite, c’est- à-dire de traduire l’inculpé en jugement, soit en raison d’une insufﬁ- sance des charges, soit pour un motif de droit. Il y a motivation en 223</w:t>
      </w:r>
    </w:p>
    <w:p>
      <w:r>
        <w:t>droit du non-lieu quand, sur le vu des éléments du dossier, le juge arrive à la conclusion que les faits sur lesquels porte l’instruction ne constituent pas une infraction ou, dans le cas où elle est objective- ment réalisée, que les conditions de la poursuite ne sont pas réunies en raison d’un moyen libératoire ou d’un fait justiﬁcatif comme la mort du prévenu, la prescription, le retrait de la plainte ou l’exception de chose jugée (RVJ 1997 p. 301 consid. 2a; Piquerez, Procédure pénale suisse, Zurich 2000, n° 2942 ss; Hauser/Schweri/Hartmann, Schweizerisches Strafprozessrecht, 6e éd., § 78 n. 3 ss; Schmid, Straf- prozessrecht, 4e éd., n. 796 s.).</w:t>
      </w:r>
    </w:p>
    <w:p>
      <w:r>
        <w:rPr>
          <w:b/>
        </w:rPr>
        <w:t>E. 3</w:t>
      </w:r>
    </w:p>
    <w:p>
      <w:r>
        <w:t>A l’occasion de la révision du titre IIe de la partie spéciale du Code pénal, entrée en vigueur le 1er janvier 1995, le législateur a intro- duit de nouvelles dispositions, tels les art. 143, 143bis et 144bis, aﬁn de mieux réprimer la criminalité informatique. a) L’art. 143 CP punit de la réclusion jusqu’à cinq ans au plus ou de l’emprisonnement celui qui, dans le dessein de se procurer ou de procurer à un tiers un enrichissement illégitime, aura soustrait des données enregistrées ou transmises électroniquement, qui ne lui étaient pas destinées et étaient spécialement protégées contre tout accès indu de sa part. Sont visées les données elles-mêmes et aussi les programmes ou les logiciels, soit les procédés permettant de les traiter (FF 1991 II 954). La donnée ne doit pas être destinée à l’au- teur et, de surcroît, être protégée contre tout accès indu de sa part. A cet égard, le législateur a précisé qu’il ne s’agissait pas de proté- ger indistinctement l’ensemble des données appartenant à autrui. Si l’auteur est habilité à disposer des données mais outrepasse les limites de son droit d’utilisation, en accédant à des données qui ne lui sont en aucun cas destinées, l’art. 143 CP n’est pas applicable, l’abus de confiance portant sur des données ne tombant donc pas sous le coup de cette disposition (FF 1991 II 978; Weissenberger, Commentaire bâlois, Strafgesetzbuch II, n. 11 ad art. 143 CP; Trech- sel, Schweizerisches Strafgesetzbuch Kurzkommentar, 2e éd., n. 6 1e partie ad art. 143 CP). La soustraction des données pénalement répréhensible suppose ainsi l’existence d’une protection dite spé- ciale, à définir de cas en cas, en fonction des standards habituels de sécurité (Schmid, Computer- sowie Check- und Kreditkarten-Krimi- nalität, Zurich 1994, § 4 n. 30; pour une description détaillée de tel- les mesures, cf. n. 33 à 38); l’appréciation y relative ne saurait dépendre de la capacité de l’auteur à déjouer le dispositif mis en 224</w:t>
      </w:r>
    </w:p>
    <w:p>
      <w:r>
        <w:t>place (Stratenwerth/Jenny, Schweizerisches Strafrecht, Besonderer Teil I, 6e éd., § 14 n. 28). Ne constituent pas une sécurité suffisante des instructions voire des interdictions orales ou écrites, ni des mesures d’organisation en vue de séparer les fonctions au sein du personnel (cf. Schmid, op. cit., § 4 n. 39). Quant à l’art. 143bis CP, il concerne plus spéciﬁquement le pirate (hacker) qui s’introduit, à l’aide d’un dispositif de transmission de données, dans un système informatique, lequel doit aussi être «spé- cialement protégé contre tout accès de sa part» (Corboz, Les infrac- tions en droit suisse, vol. I, Berne 2002, n. 5 et 6 ad art. 143bis CP). b) En l’espèce, il est constant qu’en étant simplement au béné- fice du mot de passe lui permettant de s’acquitter de ses obligations contractuelles, X. a pu accéder aux serveurs contenant les données dont il s’est ensuite emparé. Bien que lesdits serveurs aient fait l’ob- jet de diverses protections contre des intrusions de l’extérieur (chambre forte, contrôles d’accès biométriques, pare-feu), cet employé n’a rencontré aucune mesure de sécurité spécifique lui entravant l’accès aux logiciels du «Back Office» recherchés ou encore aux données d’Y. SA relatives aux adresses e-mail des abon- nés au service de messagerie A.ch, de même que celles afférentes à la liste des clients du site B., le tout «logins» et mots de passe com- pris. C’est ainsi que, d’après le directeur C., rien qu’avec le «Back Office» dont il a pu entrer en possession, qui lui permettait de réali- ser des sites internet dans des conditions très favorables, X. aurait été en mesure d’ouvrir sa propre entreprise ou de vendre à un concurrent des données évaluées alors à ......francs. A cet égard, comme on l’a déjà remarqué ci-dessus, il importe peu qu’en fonc- tion de la formation ou des capacités de celui-ci, voire des rensei- gnements fournis par des collègues mieux aguerris en ce domaine, l’employé indélicat ait mis plus ou moins de temps pour trouver le chemin des données recherchées, dès lors l’intéressé n’a dû sur- monter aucun obstacle de sécurité mis en œuvre volontairement par son employeur. Au contraire, faisant prévaloir des raisons de rentabilité dont il n’appartient pas à la cour de vérifier le bien- fondé, les organes d’Y. SA ont opté pour une barrière dite morale, qui ne suffit évidemment pas à réunir les réquisits posés à l’art. 143 CP, lors même - tel que déjà évoqué en droit - que cette barrière aurait été assortie d’instructions voire d’interdictions orales ou écrites. Lesdits réquisits sont donc bien plus sévères que ceux posés à l’art. 186 CP ou encore à l’art. 179 CP. Certes, avec la société 225</w:t>
      </w:r>
    </w:p>
    <w:p>
      <w:r>
        <w:t>lésée, qui cherche en vain à démontrer une analogie étroite entre les conditions d’application de ces dispositions, on peut s’interroger sur le sens de la protection pénale restreinte ainsi accordée par le législateur, dans sa volonté de renoncer à réprimer ce qui équivaut à un abus de confiance au sens large du terme. C’est bien la raison pour laquelle ont déjà été relevés le peu d’incidence pratique de l’art. 143 CP et même le caractère dépassé des moyens légaux mis en œuvre dès 1995 pour lutter contre la criminalité informatique (cf. Moreillon, Nouveaux délits informatiques sur Internet, Medialex 2001 p. 21). Il suit de là qu’un renvoi en jugement fondé sur l’art. 143 CP ne saurait se justifier. Pour des motifs similaires, l’application de l’art. 143bis CP n’entre pas en ligne de compte, outre que l’activité de l’employé X. ne peut être assimilée à celle d’un «hacker» qui visite le site d’autrui en vue d’en percer les défenses et, selon l’expression de Moreillon (op. cit., p. 22), d’en violer le domicile informatique. Note La cause pénale concernant X. a en revanche été renvoyée à jugement s’agissant de la violation du secret des postes et des télé- communications. Quant aux deux chefs d’accusation fondés sur les art. 162 et 179 novies CP, au sujet desquels le ministère public s’était dispensé de toute appréciation, il n’appartenait pas à la Chambre pénale de statuer sur ces questions dans le cadre spéciﬁque de la pro- cédure prévue à l’art. 113 ch. 1 let. d CPP. Par jugement du 28 juin 2005, destiné à publication dans la RVJ 3/2006, le Juge des districts de Martigny et St-Maurice s’est prononcé sur la réali- sation des conditions des art. 179 novies et 321 ter al. 1 CP. 226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